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80"/>
        <w:tblBorders>
          <w:top w:val="none" w:color="FFFFFF" w:sz="0"/>
          <w:left w:val="single" w:color="FF8F3A" w:sz="20"/>
          <w:bottom w:val="none" w:color="FFFFFF" w:sz="0"/>
          <w:right w:val="none" w:color="FFFFFF" w:sz="0"/>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F0F9FB" w:val="clear"/>
            <w:tcMar>
              <w:top w:type="dxa" w:w="200"/>
              <w:left w:type="dxa" w:w="300"/>
              <w:bottom w:type="dxa" w:w="200"/>
              <w:right w:type="dxa" w:w="200"/>
            </w:tcMar>
          </w:tcPr>
          <w:p>
            <w:r>
              <w:rPr>
                <w:rFonts w:ascii="Arial" w:cs="Arial" w:eastAsia="Arial" w:hAnsi="Arial"/>
                <w:b/>
                <w:bCs/>
                <w:color w:val="0C657B"/>
                <w:sz w:val="40"/>
                <w:szCs w:val="40"/>
              </w:rPr>
              <w:t xml:space="preserve">Medical Records Checklist</w:t>
            </w:r>
          </w:p>
          <w:p>
            <w:pPr>
              <w:spacing w:before="60" w:after="60"/>
            </w:pPr>
            <w:r>
              <w:rPr>
                <w:rFonts w:ascii="Arial" w:cs="Arial" w:eastAsia="Arial" w:hAnsi="Arial"/>
                <w:i/>
                <w:iCs/>
                <w:color w:val="6B7C85"/>
                <w:sz w:val="22"/>
                <w:szCs w:val="22"/>
              </w:rPr>
              <w:t xml:space="preserve">A Complete Guide for Personal Injury &amp; Workers' Compensation Cases</w:t>
            </w:r>
          </w:p>
          <w:p>
            <w:pPr>
              <w:spacing w:before="60" w:after="0"/>
            </w:pPr>
            <w:r>
              <w:rPr>
                <w:rFonts w:ascii="Arial" w:cs="Arial" w:eastAsia="Arial" w:hAnsi="Arial"/>
                <w:b/>
                <w:bCs/>
                <w:color w:val="FF8F3A"/>
                <w:sz w:val="19"/>
                <w:szCs w:val="19"/>
              </w:rPr>
              <w:t xml:space="preserve">Prepared by Claims &amp; Kinnect Solutions  |  Licensed in 25+ States</w:t>
            </w:r>
          </w:p>
        </w:tc>
      </w:tr>
    </w:tbl>
    <w:p>
      <w:pPr>
        <w:spacing w:before="240" w:after="0"/>
      </w:pPr>
    </w:p>
    <w:tbl>
      <w:tblPr>
        <w:tblW w:type="dxa" w:w="10080"/>
        <w:tblBorders>
          <w:top w:val="none" w:color="FFFFFF" w:sz="0"/>
          <w:left w:val="none" w:color="FFFFFF" w:sz="0"/>
          <w:bottom w:val="none" w:color="FFFFFF" w:sz="0"/>
          <w:right w:val="none" w:color="FFFFFF" w:sz="0"/>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E8F6FA" w:val="clear"/>
            <w:tcMar>
              <w:top w:type="dxa" w:w="140"/>
              <w:left w:type="dxa" w:w="220"/>
              <w:bottom w:type="dxa" w:w="140"/>
              <w:right w:type="dxa" w:w="220"/>
            </w:tcMar>
          </w:tcPr>
          <w:p>
            <w:r>
              <w:rPr>
                <w:rFonts w:ascii="Arial" w:cs="Arial" w:eastAsia="Arial" w:hAnsi="Arial"/>
                <w:b/>
                <w:bCs/>
                <w:color w:val="0C657B"/>
                <w:sz w:val="22"/>
                <w:szCs w:val="22"/>
              </w:rPr>
              <w:t xml:space="preserve">How to Use This Checklist</w:t>
            </w:r>
          </w:p>
          <w:p>
            <w:pPr>
              <w:spacing w:before="60" w:after="0"/>
            </w:pPr>
            <w:r>
              <w:rPr>
                <w:rFonts w:ascii="Arial" w:cs="Arial" w:eastAsia="Arial" w:hAnsi="Arial"/>
                <w:color w:val="2D3E4A"/>
                <w:sz w:val="20"/>
                <w:szCs w:val="20"/>
              </w:rPr>
              <w:t xml:space="preserve">This checklist is designed to help attorneys, adjusters, and case managers ensure every critical medical record is collected and accounted for throughout a personal injury or workers' compensation case. Thorough documentation speeds up case resolution, strengthens settlements, and ensures injured clients receive appropriate and timely care. Work through each section systematically and use the checkboxes to track your progress.</w:t>
            </w:r>
          </w:p>
        </w:tc>
      </w:tr>
    </w:tbl>
    <w:p>
      <w:pPr>
        <w:spacing w:before="240" w:after="0"/>
      </w:pPr>
    </w:p>
    <w:tbl>
      <w:tblPr>
        <w:tblW w:type="dxa" w:w="10080"/>
        <w:tblBorders>
          <w:top w:val="none" w:color="FFFFFF" w:sz="0"/>
          <w:left w:val="none" w:color="FFFFFF" w:sz="0"/>
          <w:bottom w:val="none" w:color="FFFFFF" w:sz="0"/>
          <w:right w:val="none" w:color="FFFFFF" w:sz="0"/>
          <w:insideH w:val="single" w:color="auto" w:sz="4"/>
          <w:insideV w:val="single" w:color="auto" w:sz="4"/>
        </w:tblBorders>
      </w:tblPr>
      <w:tblGrid>
        <w:gridCol w:w="480"/>
        <w:gridCol w:w="9600"/>
      </w:tblGrid>
      <w:tr>
        <w:tc>
          <w:tcPr>
            <w:tcW w:type="dxa" w:w="9360"/>
            <w:gridSpan w:val="2"/>
            <w:tcBorders>
              <w:top w:val="none" w:color="FFFFFF" w:sz="0"/>
              <w:left w:val="none" w:color="FFFFFF" w:sz="0"/>
              <w:bottom w:val="none" w:color="FFFFFF" w:sz="0"/>
              <w:right w:val="none" w:color="FFFFFF" w:sz="0"/>
            </w:tcBorders>
            <w:shd w:fill="1A90A8" w:val="clear"/>
            <w:tcMar>
              <w:top w:type="dxa" w:w="120"/>
              <w:left w:type="dxa" w:w="200"/>
              <w:bottom w:type="dxa" w:w="100"/>
              <w:right w:type="dxa" w:w="200"/>
            </w:tcMar>
          </w:tcPr>
          <w:p>
            <w:r>
              <w:rPr>
                <w:rFonts w:ascii="Arial" w:cs="Arial" w:eastAsia="Arial" w:hAnsi="Arial"/>
                <w:b/>
                <w:bCs/>
                <w:color w:val="FFFFFF"/>
                <w:sz w:val="24"/>
                <w:szCs w:val="24"/>
              </w:rPr>
              <w:t xml:space="preserve">SECTION 1 — Case Intake &amp; Identification</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Claimant's full legal name, date of birth, and Social Security Number (last 4 digits) confirmed</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Claim number and insurance carrier information documented</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Date of injury/accident confirmed and recorded</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Treating physician(s) identified and contact information on file</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Referral source documented (attorney, adjuster, or case manager name and firm)</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HIPAA Authorization / Medical Release Form signed and collected</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Applicable jurisdiction(s) identified for multi-state cases</w:t>
            </w:r>
          </w:p>
        </w:tc>
      </w:tr>
      <w:tr>
        <w:tc>
          <w:tcPr>
            <w:tcW w:type="dxa" w:w="9360"/>
            <w:gridSpan w:val="2"/>
            <w:tcBorders>
              <w:top w:val="none" w:color="FFFFFF" w:sz="0"/>
              <w:left w:val="none" w:color="FFFFFF" w:sz="0"/>
              <w:bottom w:val="none" w:color="FFFFFF" w:sz="0"/>
              <w:right w:val="none" w:color="FFFFFF" w:sz="0"/>
            </w:tcBorders>
            <w:shd w:fill="E8F6FA" w:val="clear"/>
            <w:tcMar>
              <w:top w:type="dxa" w:w="100"/>
              <w:left w:type="dxa" w:w="200"/>
              <w:bottom w:type="dxa" w:w="100"/>
              <w:right w:type="dxa" w:w="200"/>
            </w:tcMar>
          </w:tcPr>
          <w:p>
            <w:r>
              <w:rPr>
                <w:rFonts w:ascii="Arial" w:cs="Arial" w:eastAsia="Arial" w:hAnsi="Arial"/>
                <w:sz w:val="20"/>
                <w:szCs w:val="20"/>
              </w:rPr>
              <w:t xml:space="preserve">💡 </w:t>
            </w:r>
            <w:r>
              <w:rPr>
                <w:rFonts w:ascii="Arial" w:cs="Arial" w:eastAsia="Arial" w:hAnsi="Arial"/>
                <w:i/>
                <w:iCs/>
                <w:color w:val="0C657B"/>
                <w:sz w:val="20"/>
                <w:szCs w:val="20"/>
              </w:rPr>
              <w:t xml:space="preserve">Tip: Confirm the HIPAA release covers all providers before requesting records. Some providers require provider-specific releases.</w:t>
            </w:r>
          </w:p>
        </w:tc>
      </w:tr>
    </w:tbl>
    <w:p>
      <w:pPr>
        <w:spacing w:before="240" w:after="0"/>
      </w:pPr>
    </w:p>
    <w:tbl>
      <w:tblPr>
        <w:tblW w:type="dxa" w:w="10080"/>
        <w:tblBorders>
          <w:top w:val="none" w:color="FFFFFF" w:sz="0"/>
          <w:left w:val="none" w:color="FFFFFF" w:sz="0"/>
          <w:bottom w:val="none" w:color="FFFFFF" w:sz="0"/>
          <w:right w:val="none" w:color="FFFFFF" w:sz="0"/>
          <w:insideH w:val="single" w:color="auto" w:sz="4"/>
          <w:insideV w:val="single" w:color="auto" w:sz="4"/>
        </w:tblBorders>
      </w:tblPr>
      <w:tblGrid>
        <w:gridCol w:w="480"/>
        <w:gridCol w:w="9600"/>
      </w:tblGrid>
      <w:tr>
        <w:tc>
          <w:tcPr>
            <w:tcW w:type="dxa" w:w="9360"/>
            <w:gridSpan w:val="2"/>
            <w:tcBorders>
              <w:top w:val="none" w:color="FFFFFF" w:sz="0"/>
              <w:left w:val="none" w:color="FFFFFF" w:sz="0"/>
              <w:bottom w:val="none" w:color="FFFFFF" w:sz="0"/>
              <w:right w:val="none" w:color="FFFFFF" w:sz="0"/>
            </w:tcBorders>
            <w:shd w:fill="0C657B" w:val="clear"/>
            <w:tcMar>
              <w:top w:type="dxa" w:w="120"/>
              <w:left w:type="dxa" w:w="200"/>
              <w:bottom w:type="dxa" w:w="100"/>
              <w:right w:type="dxa" w:w="200"/>
            </w:tcMar>
          </w:tcPr>
          <w:p>
            <w:r>
              <w:rPr>
                <w:rFonts w:ascii="Arial" w:cs="Arial" w:eastAsia="Arial" w:hAnsi="Arial"/>
                <w:b/>
                <w:bCs/>
                <w:color w:val="FFFFFF"/>
                <w:sz w:val="24"/>
                <w:szCs w:val="24"/>
              </w:rPr>
              <w:t xml:space="preserve">SECTION 2 — Initial &amp; Emergency Medical Records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Emergency room records from date of injury</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Ambulance/EMS run report (if applicable)</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First treating physician visit notes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Initial diagnosis and injury description documented</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Nurse/triage notes from ER or urgent care visit</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Emergency discharge instructions and follow-up orders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Initial prescription records (pain management, anti-inflammatory, etc.)</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Any same-day or next-day urgent care visit records</w:t>
            </w:r>
          </w:p>
        </w:tc>
      </w:tr>
      <w:tr>
        <w:tc>
          <w:tcPr>
            <w:tcW w:type="dxa" w:w="9360"/>
            <w:gridSpan w:val="2"/>
            <w:tcBorders>
              <w:top w:val="none" w:color="FFFFFF" w:sz="0"/>
              <w:left w:val="none" w:color="FFFFFF" w:sz="0"/>
              <w:bottom w:val="none" w:color="FFFFFF" w:sz="0"/>
              <w:right w:val="none" w:color="FFFFFF" w:sz="0"/>
            </w:tcBorders>
            <w:shd w:fill="E8F6FA" w:val="clear"/>
            <w:tcMar>
              <w:top w:type="dxa" w:w="100"/>
              <w:left w:type="dxa" w:w="200"/>
              <w:bottom w:type="dxa" w:w="100"/>
              <w:right w:type="dxa" w:w="200"/>
            </w:tcMar>
          </w:tcPr>
          <w:p>
            <w:r>
              <w:rPr>
                <w:rFonts w:ascii="Arial" w:cs="Arial" w:eastAsia="Arial" w:hAnsi="Arial"/>
                <w:sz w:val="20"/>
                <w:szCs w:val="20"/>
              </w:rPr>
              <w:t xml:space="preserve">💡 </w:t>
            </w:r>
            <w:r>
              <w:rPr>
                <w:rFonts w:ascii="Arial" w:cs="Arial" w:eastAsia="Arial" w:hAnsi="Arial"/>
                <w:i/>
                <w:iCs/>
                <w:color w:val="0C657B"/>
                <w:sz w:val="20"/>
                <w:szCs w:val="20"/>
              </w:rPr>
              <w:t xml:space="preserve">Tip: ER records often contain vital early descriptions of the injury mechanism — these are critical for establishing causation in litigation.</w:t>
            </w:r>
          </w:p>
        </w:tc>
      </w:tr>
    </w:tbl>
    <w:p>
      <w:pPr>
        <w:spacing w:before="240" w:after="0"/>
      </w:pPr>
    </w:p>
    <w:tbl>
      <w:tblPr>
        <w:tblW w:type="dxa" w:w="10080"/>
        <w:tblBorders>
          <w:top w:val="none" w:color="FFFFFF" w:sz="0"/>
          <w:left w:val="none" w:color="FFFFFF" w:sz="0"/>
          <w:bottom w:val="none" w:color="FFFFFF" w:sz="0"/>
          <w:right w:val="none" w:color="FFFFFF" w:sz="0"/>
          <w:insideH w:val="single" w:color="auto" w:sz="4"/>
          <w:insideV w:val="single" w:color="auto" w:sz="4"/>
        </w:tblBorders>
      </w:tblPr>
      <w:tblGrid>
        <w:gridCol w:w="480"/>
        <w:gridCol w:w="9600"/>
      </w:tblGrid>
      <w:tr>
        <w:tc>
          <w:tcPr>
            <w:tcW w:type="dxa" w:w="9360"/>
            <w:gridSpan w:val="2"/>
            <w:tcBorders>
              <w:top w:val="none" w:color="FFFFFF" w:sz="0"/>
              <w:left w:val="none" w:color="FFFFFF" w:sz="0"/>
              <w:bottom w:val="none" w:color="FFFFFF" w:sz="0"/>
              <w:right w:val="none" w:color="FFFFFF" w:sz="0"/>
            </w:tcBorders>
            <w:shd w:fill="FF8F3A" w:val="clear"/>
            <w:tcMar>
              <w:top w:type="dxa" w:w="120"/>
              <w:left w:type="dxa" w:w="200"/>
              <w:bottom w:type="dxa" w:w="100"/>
              <w:right w:type="dxa" w:w="200"/>
            </w:tcMar>
          </w:tcPr>
          <w:p>
            <w:r>
              <w:rPr>
                <w:rFonts w:ascii="Arial" w:cs="Arial" w:eastAsia="Arial" w:hAnsi="Arial"/>
                <w:b/>
                <w:bCs/>
                <w:color w:val="FFFFFF"/>
                <w:sz w:val="24"/>
                <w:szCs w:val="24"/>
              </w:rPr>
              <w:t xml:space="preserve">SECTION 3 — Diagnostic Testing &amp; Imaging</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X-ray results and radiology reports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MRI reports (with and without contrast, if applicable)</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CT scan results and radiologist's narrative report</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Nerve conduction study (NCS) / EMG results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Ultrasound imaging reports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Bone density or nuclear imaging studies (if ordered)</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Laboratory/bloodwork results relevant to the injury</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Imaging CD or digital files requested for IME use (if needed)</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All ordering physician referrals on file for each diagnostic test</w:t>
            </w:r>
          </w:p>
        </w:tc>
      </w:tr>
      <w:tr>
        <w:tc>
          <w:tcPr>
            <w:tcW w:type="dxa" w:w="9360"/>
            <w:gridSpan w:val="2"/>
            <w:tcBorders>
              <w:top w:val="none" w:color="FFFFFF" w:sz="0"/>
              <w:left w:val="none" w:color="FFFFFF" w:sz="0"/>
              <w:bottom w:val="none" w:color="FFFFFF" w:sz="0"/>
              <w:right w:val="none" w:color="FFFFFF" w:sz="0"/>
            </w:tcBorders>
            <w:shd w:fill="E8F6FA" w:val="clear"/>
            <w:tcMar>
              <w:top w:type="dxa" w:w="100"/>
              <w:left w:type="dxa" w:w="200"/>
              <w:bottom w:type="dxa" w:w="100"/>
              <w:right w:type="dxa" w:w="200"/>
            </w:tcMar>
          </w:tcPr>
          <w:p>
            <w:r>
              <w:rPr>
                <w:rFonts w:ascii="Arial" w:cs="Arial" w:eastAsia="Arial" w:hAnsi="Arial"/>
                <w:sz w:val="20"/>
                <w:szCs w:val="20"/>
              </w:rPr>
              <w:t xml:space="preserve">💡 </w:t>
            </w:r>
            <w:r>
              <w:rPr>
                <w:rFonts w:ascii="Arial" w:cs="Arial" w:eastAsia="Arial" w:hAnsi="Arial"/>
                <w:i/>
                <w:iCs/>
                <w:color w:val="0C657B"/>
                <w:sz w:val="20"/>
                <w:szCs w:val="20"/>
              </w:rPr>
              <w:t xml:space="preserve">Tip: Always request both the written radiology report AND the actual images/CD. IME physicians frequently need the images, not just the report.</w:t>
            </w:r>
          </w:p>
        </w:tc>
      </w:tr>
    </w:tbl>
    <w:p>
      <w:pPr>
        <w:spacing w:before="240" w:after="0"/>
      </w:pPr>
    </w:p>
    <w:tbl>
      <w:tblPr>
        <w:tblW w:type="dxa" w:w="10080"/>
        <w:tblBorders>
          <w:top w:val="none" w:color="FFFFFF" w:sz="0"/>
          <w:left w:val="none" w:color="FFFFFF" w:sz="0"/>
          <w:bottom w:val="none" w:color="FFFFFF" w:sz="0"/>
          <w:right w:val="none" w:color="FFFFFF" w:sz="0"/>
          <w:insideH w:val="single" w:color="auto" w:sz="4"/>
          <w:insideV w:val="single" w:color="auto" w:sz="4"/>
        </w:tblBorders>
      </w:tblPr>
      <w:tblGrid>
        <w:gridCol w:w="480"/>
        <w:gridCol w:w="9600"/>
      </w:tblGrid>
      <w:tr>
        <w:tc>
          <w:tcPr>
            <w:tcW w:type="dxa" w:w="9360"/>
            <w:gridSpan w:val="2"/>
            <w:tcBorders>
              <w:top w:val="none" w:color="FFFFFF" w:sz="0"/>
              <w:left w:val="none" w:color="FFFFFF" w:sz="0"/>
              <w:bottom w:val="none" w:color="FFFFFF" w:sz="0"/>
              <w:right w:val="none" w:color="FFFFFF" w:sz="0"/>
            </w:tcBorders>
            <w:shd w:fill="5E3DA6" w:val="clear"/>
            <w:tcMar>
              <w:top w:type="dxa" w:w="120"/>
              <w:left w:type="dxa" w:w="200"/>
              <w:bottom w:type="dxa" w:w="100"/>
              <w:right w:type="dxa" w:w="200"/>
            </w:tcMar>
          </w:tcPr>
          <w:p>
            <w:r>
              <w:rPr>
                <w:rFonts w:ascii="Arial" w:cs="Arial" w:eastAsia="Arial" w:hAnsi="Arial"/>
                <w:b/>
                <w:bCs/>
                <w:color w:val="FFFFFF"/>
                <w:sz w:val="24"/>
                <w:szCs w:val="24"/>
              </w:rPr>
              <w:t xml:space="preserve">SECTION 4 — Specialist &amp; Follow-Up Records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Orthopedic surgeon visit notes and recommendations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Neurologist evaluation and treatment notes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Pain management physician records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Neurosurgeon consultation notes (if applicable)</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Occupational medicine physician records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Cardiologist records (if cardiac involvement)</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Ophthalmologist or ENT records (if head/face injury)</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Psychologist or psychiatrist records (for psychological injury claims)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All specialist referral letters and orders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Prescription history from all treating specialists</w:t>
            </w:r>
          </w:p>
        </w:tc>
      </w:tr>
      <w:tr>
        <w:tc>
          <w:tcPr>
            <w:tcW w:type="dxa" w:w="9360"/>
            <w:gridSpan w:val="2"/>
            <w:tcBorders>
              <w:top w:val="none" w:color="FFFFFF" w:sz="0"/>
              <w:left w:val="none" w:color="FFFFFF" w:sz="0"/>
              <w:bottom w:val="none" w:color="FFFFFF" w:sz="0"/>
              <w:right w:val="none" w:color="FFFFFF" w:sz="0"/>
            </w:tcBorders>
            <w:shd w:fill="E8F6FA" w:val="clear"/>
            <w:tcMar>
              <w:top w:type="dxa" w:w="100"/>
              <w:left w:type="dxa" w:w="200"/>
              <w:bottom w:type="dxa" w:w="100"/>
              <w:right w:type="dxa" w:w="200"/>
            </w:tcMar>
          </w:tcPr>
          <w:p>
            <w:r>
              <w:rPr>
                <w:rFonts w:ascii="Arial" w:cs="Arial" w:eastAsia="Arial" w:hAnsi="Arial"/>
                <w:sz w:val="20"/>
                <w:szCs w:val="20"/>
              </w:rPr>
              <w:t xml:space="preserve">💡 </w:t>
            </w:r>
            <w:r>
              <w:rPr>
                <w:rFonts w:ascii="Arial" w:cs="Arial" w:eastAsia="Arial" w:hAnsi="Arial"/>
                <w:i/>
                <w:iCs/>
                <w:color w:val="0C657B"/>
                <w:sz w:val="20"/>
                <w:szCs w:val="20"/>
              </w:rPr>
              <w:t xml:space="preserve">Tip: For workers' compensation cases, verify that all specialists are on the approved provider list for the applicable state before scheduling.</w:t>
            </w:r>
          </w:p>
        </w:tc>
      </w:tr>
    </w:tbl>
    <w:p>
      <w:pPr>
        <w:spacing w:before="240" w:after="0"/>
      </w:pPr>
    </w:p>
    <w:tbl>
      <w:tblPr>
        <w:tblW w:type="dxa" w:w="10080"/>
        <w:tblBorders>
          <w:top w:val="none" w:color="FFFFFF" w:sz="0"/>
          <w:left w:val="none" w:color="FFFFFF" w:sz="0"/>
          <w:bottom w:val="none" w:color="FFFFFF" w:sz="0"/>
          <w:right w:val="none" w:color="FFFFFF" w:sz="0"/>
          <w:insideH w:val="single" w:color="auto" w:sz="4"/>
          <w:insideV w:val="single" w:color="auto" w:sz="4"/>
        </w:tblBorders>
      </w:tblPr>
      <w:tblGrid>
        <w:gridCol w:w="480"/>
        <w:gridCol w:w="9600"/>
      </w:tblGrid>
      <w:tr>
        <w:tc>
          <w:tcPr>
            <w:tcW w:type="dxa" w:w="9360"/>
            <w:gridSpan w:val="2"/>
            <w:tcBorders>
              <w:top w:val="none" w:color="FFFFFF" w:sz="0"/>
              <w:left w:val="none" w:color="FFFFFF" w:sz="0"/>
              <w:bottom w:val="none" w:color="FFFFFF" w:sz="0"/>
              <w:right w:val="none" w:color="FFFFFF" w:sz="0"/>
            </w:tcBorders>
            <w:shd w:fill="F45B89" w:val="clear"/>
            <w:tcMar>
              <w:top w:type="dxa" w:w="120"/>
              <w:left w:type="dxa" w:w="200"/>
              <w:bottom w:type="dxa" w:w="100"/>
              <w:right w:type="dxa" w:w="200"/>
            </w:tcMar>
          </w:tcPr>
          <w:p>
            <w:r>
              <w:rPr>
                <w:rFonts w:ascii="Arial" w:cs="Arial" w:eastAsia="Arial" w:hAnsi="Arial"/>
                <w:b/>
                <w:bCs/>
                <w:color w:val="FFFFFF"/>
                <w:sz w:val="24"/>
                <w:szCs w:val="24"/>
              </w:rPr>
              <w:t xml:space="preserve">SECTION 5 — Physical Therapy &amp; Rehabilitation</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Physical therapy initial evaluation report</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PT treatment notes for all sessions (full session log)</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Functional progress notes and milestone documentation</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Discharge summary from PT (or reason for early termination)</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Occupational therapy records (if applicable)</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Home exercise program documentation</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Work conditioning or work hardening program records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Functional Capacity Evaluation (FCE) report</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Aquatic therapy or specialized rehabilitation records (if applicable)</w:t>
            </w:r>
          </w:p>
        </w:tc>
      </w:tr>
      <w:tr>
        <w:tc>
          <w:tcPr>
            <w:tcW w:type="dxa" w:w="9360"/>
            <w:gridSpan w:val="2"/>
            <w:tcBorders>
              <w:top w:val="none" w:color="FFFFFF" w:sz="0"/>
              <w:left w:val="none" w:color="FFFFFF" w:sz="0"/>
              <w:bottom w:val="none" w:color="FFFFFF" w:sz="0"/>
              <w:right w:val="none" w:color="FFFFFF" w:sz="0"/>
            </w:tcBorders>
            <w:shd w:fill="E8F6FA" w:val="clear"/>
            <w:tcMar>
              <w:top w:type="dxa" w:w="100"/>
              <w:left w:type="dxa" w:w="200"/>
              <w:bottom w:type="dxa" w:w="100"/>
              <w:right w:type="dxa" w:w="200"/>
            </w:tcMar>
          </w:tcPr>
          <w:p>
            <w:r>
              <w:rPr>
                <w:rFonts w:ascii="Arial" w:cs="Arial" w:eastAsia="Arial" w:hAnsi="Arial"/>
                <w:sz w:val="20"/>
                <w:szCs w:val="20"/>
              </w:rPr>
              <w:t xml:space="preserve">💡 </w:t>
            </w:r>
            <w:r>
              <w:rPr>
                <w:rFonts w:ascii="Arial" w:cs="Arial" w:eastAsia="Arial" w:hAnsi="Arial"/>
                <w:i/>
                <w:iCs/>
                <w:color w:val="0C657B"/>
                <w:sz w:val="20"/>
                <w:szCs w:val="20"/>
              </w:rPr>
              <w:t xml:space="preserve">Tip: Full PT session notes — not just the discharge summary — are often required by defense counsel and IME physicians to evaluate the full course of treatment.</w:t>
            </w:r>
          </w:p>
        </w:tc>
      </w:tr>
    </w:tbl>
    <w:p>
      <w:pPr>
        <w:spacing w:before="240" w:after="0"/>
      </w:pPr>
    </w:p>
    <w:tbl>
      <w:tblPr>
        <w:tblW w:type="dxa" w:w="10080"/>
        <w:tblBorders>
          <w:top w:val="none" w:color="FFFFFF" w:sz="0"/>
          <w:left w:val="none" w:color="FFFFFF" w:sz="0"/>
          <w:bottom w:val="none" w:color="FFFFFF" w:sz="0"/>
          <w:right w:val="none" w:color="FFFFFF" w:sz="0"/>
          <w:insideH w:val="single" w:color="auto" w:sz="4"/>
          <w:insideV w:val="single" w:color="auto" w:sz="4"/>
        </w:tblBorders>
      </w:tblPr>
      <w:tblGrid>
        <w:gridCol w:w="480"/>
        <w:gridCol w:w="9600"/>
      </w:tblGrid>
      <w:tr>
        <w:tc>
          <w:tcPr>
            <w:tcW w:type="dxa" w:w="9360"/>
            <w:gridSpan w:val="2"/>
            <w:tcBorders>
              <w:top w:val="none" w:color="FFFFFF" w:sz="0"/>
              <w:left w:val="none" w:color="FFFFFF" w:sz="0"/>
              <w:bottom w:val="none" w:color="FFFFFF" w:sz="0"/>
              <w:right w:val="none" w:color="FFFFFF" w:sz="0"/>
            </w:tcBorders>
            <w:shd w:fill="1A90A8" w:val="clear"/>
            <w:tcMar>
              <w:top w:type="dxa" w:w="120"/>
              <w:left w:type="dxa" w:w="200"/>
              <w:bottom w:type="dxa" w:w="100"/>
              <w:right w:type="dxa" w:w="200"/>
            </w:tcMar>
          </w:tcPr>
          <w:p>
            <w:r>
              <w:rPr>
                <w:rFonts w:ascii="Arial" w:cs="Arial" w:eastAsia="Arial" w:hAnsi="Arial"/>
                <w:b/>
                <w:bCs/>
                <w:color w:val="FFFFFF"/>
                <w:sz w:val="24"/>
                <w:szCs w:val="24"/>
              </w:rPr>
              <w:t xml:space="preserve">SECTION 6 — Surgical Records (If Applicable)</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Pre-surgical consultations and clearance notes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Anesthesiology pre-op evaluation</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Operative report (surgeon's detailed narrative)</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Anesthesia record</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Post-operative recovery room notes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Implant/hardware records and product information (if applicable)</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Hospital admission and discharge records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Inpatient nursing notes (if overnight stay required)</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Post-operative follow-up visit notes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Surgical clearance documentation for return to work or activity</w:t>
            </w:r>
          </w:p>
        </w:tc>
      </w:tr>
      <w:tr>
        <w:tc>
          <w:tcPr>
            <w:tcW w:type="dxa" w:w="9360"/>
            <w:gridSpan w:val="2"/>
            <w:tcBorders>
              <w:top w:val="none" w:color="FFFFFF" w:sz="0"/>
              <w:left w:val="none" w:color="FFFFFF" w:sz="0"/>
              <w:bottom w:val="none" w:color="FFFFFF" w:sz="0"/>
              <w:right w:val="none" w:color="FFFFFF" w:sz="0"/>
            </w:tcBorders>
            <w:shd w:fill="E8F6FA" w:val="clear"/>
            <w:tcMar>
              <w:top w:type="dxa" w:w="100"/>
              <w:left w:type="dxa" w:w="200"/>
              <w:bottom w:type="dxa" w:w="100"/>
              <w:right w:type="dxa" w:w="200"/>
            </w:tcMar>
          </w:tcPr>
          <w:p>
            <w:r>
              <w:rPr>
                <w:rFonts w:ascii="Arial" w:cs="Arial" w:eastAsia="Arial" w:hAnsi="Arial"/>
                <w:sz w:val="20"/>
                <w:szCs w:val="20"/>
              </w:rPr>
              <w:t xml:space="preserve">💡 </w:t>
            </w:r>
            <w:r>
              <w:rPr>
                <w:rFonts w:ascii="Arial" w:cs="Arial" w:eastAsia="Arial" w:hAnsi="Arial"/>
                <w:i/>
                <w:iCs/>
                <w:color w:val="0C657B"/>
                <w:sz w:val="20"/>
                <w:szCs w:val="20"/>
              </w:rPr>
              <w:t xml:space="preserve">Tip: The operative report is the most critical surgical document. Confirm it is received as a full narrative, not just a billing code summary.</w:t>
            </w:r>
          </w:p>
        </w:tc>
      </w:tr>
    </w:tbl>
    <w:p>
      <w:pPr>
        <w:spacing w:before="240" w:after="0"/>
      </w:pPr>
    </w:p>
    <w:tbl>
      <w:tblPr>
        <w:tblW w:type="dxa" w:w="10080"/>
        <w:tblBorders>
          <w:top w:val="none" w:color="FFFFFF" w:sz="0"/>
          <w:left w:val="none" w:color="FFFFFF" w:sz="0"/>
          <w:bottom w:val="none" w:color="FFFFFF" w:sz="0"/>
          <w:right w:val="none" w:color="FFFFFF" w:sz="0"/>
          <w:insideH w:val="single" w:color="auto" w:sz="4"/>
          <w:insideV w:val="single" w:color="auto" w:sz="4"/>
        </w:tblBorders>
      </w:tblPr>
      <w:tblGrid>
        <w:gridCol w:w="480"/>
        <w:gridCol w:w="9600"/>
      </w:tblGrid>
      <w:tr>
        <w:tc>
          <w:tcPr>
            <w:tcW w:type="dxa" w:w="9360"/>
            <w:gridSpan w:val="2"/>
            <w:tcBorders>
              <w:top w:val="none" w:color="FFFFFF" w:sz="0"/>
              <w:left w:val="none" w:color="FFFFFF" w:sz="0"/>
              <w:bottom w:val="none" w:color="FFFFFF" w:sz="0"/>
              <w:right w:val="none" w:color="FFFFFF" w:sz="0"/>
            </w:tcBorders>
            <w:shd w:fill="0C657B" w:val="clear"/>
            <w:tcMar>
              <w:top w:type="dxa" w:w="120"/>
              <w:left w:type="dxa" w:w="200"/>
              <w:bottom w:type="dxa" w:w="100"/>
              <w:right w:type="dxa" w:w="200"/>
            </w:tcMar>
          </w:tcPr>
          <w:p>
            <w:r>
              <w:rPr>
                <w:rFonts w:ascii="Arial" w:cs="Arial" w:eastAsia="Arial" w:hAnsi="Arial"/>
                <w:b/>
                <w:bCs/>
                <w:color w:val="FFFFFF"/>
                <w:sz w:val="24"/>
                <w:szCs w:val="24"/>
              </w:rPr>
              <w:t xml:space="preserve">SECTION 7 — Independent Medical Examinations (IMEs)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IME physician credentials and CV on file</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IME appointment confirmation sent to all parties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Records package sent to IME physician in advance (per requirements)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IME report received and filed</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Supplemental IME report (if rebuttal requested)</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Peer review report (if requested in lieu of in-person IME)</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Defense medical examination (DME) report, if applicable</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IME physician conflict-of-interest disclosure reviewed</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Claimant notification of IME obligation served (per state requirements)</w:t>
            </w:r>
          </w:p>
        </w:tc>
      </w:tr>
      <w:tr>
        <w:tc>
          <w:tcPr>
            <w:tcW w:type="dxa" w:w="9360"/>
            <w:gridSpan w:val="2"/>
            <w:tcBorders>
              <w:top w:val="none" w:color="FFFFFF" w:sz="0"/>
              <w:left w:val="none" w:color="FFFFFF" w:sz="0"/>
              <w:bottom w:val="none" w:color="FFFFFF" w:sz="0"/>
              <w:right w:val="none" w:color="FFFFFF" w:sz="0"/>
            </w:tcBorders>
            <w:shd w:fill="E8F6FA" w:val="clear"/>
            <w:tcMar>
              <w:top w:type="dxa" w:w="100"/>
              <w:left w:type="dxa" w:w="200"/>
              <w:bottom w:type="dxa" w:w="100"/>
              <w:right w:type="dxa" w:w="200"/>
            </w:tcMar>
          </w:tcPr>
          <w:p>
            <w:r>
              <w:rPr>
                <w:rFonts w:ascii="Arial" w:cs="Arial" w:eastAsia="Arial" w:hAnsi="Arial"/>
                <w:sz w:val="20"/>
                <w:szCs w:val="20"/>
              </w:rPr>
              <w:t xml:space="preserve">💡 </w:t>
            </w:r>
            <w:r>
              <w:rPr>
                <w:rFonts w:ascii="Arial" w:cs="Arial" w:eastAsia="Arial" w:hAnsi="Arial"/>
                <w:i/>
                <w:iCs/>
                <w:color w:val="0C657B"/>
                <w:sz w:val="20"/>
                <w:szCs w:val="20"/>
              </w:rPr>
              <w:t xml:space="preserve">Tip: IME rules vary significantly by state. Always confirm the applicable state's specific advance notice, records disclosure, and attendance requirements before scheduling.</w:t>
            </w:r>
          </w:p>
        </w:tc>
      </w:tr>
    </w:tbl>
    <w:p>
      <w:pPr>
        <w:spacing w:before="240" w:after="0"/>
      </w:pPr>
    </w:p>
    <w:tbl>
      <w:tblPr>
        <w:tblW w:type="dxa" w:w="10080"/>
        <w:tblBorders>
          <w:top w:val="none" w:color="FFFFFF" w:sz="0"/>
          <w:left w:val="none" w:color="FFFFFF" w:sz="0"/>
          <w:bottom w:val="none" w:color="FFFFFF" w:sz="0"/>
          <w:right w:val="none" w:color="FFFFFF" w:sz="0"/>
          <w:insideH w:val="single" w:color="auto" w:sz="4"/>
          <w:insideV w:val="single" w:color="auto" w:sz="4"/>
        </w:tblBorders>
      </w:tblPr>
      <w:tblGrid>
        <w:gridCol w:w="480"/>
        <w:gridCol w:w="9600"/>
      </w:tblGrid>
      <w:tr>
        <w:tc>
          <w:tcPr>
            <w:tcW w:type="dxa" w:w="9360"/>
            <w:gridSpan w:val="2"/>
            <w:tcBorders>
              <w:top w:val="none" w:color="FFFFFF" w:sz="0"/>
              <w:left w:val="none" w:color="FFFFFF" w:sz="0"/>
              <w:bottom w:val="none" w:color="FFFFFF" w:sz="0"/>
              <w:right w:val="none" w:color="FFFFFF" w:sz="0"/>
            </w:tcBorders>
            <w:shd w:fill="FF8F3A" w:val="clear"/>
            <w:tcMar>
              <w:top w:type="dxa" w:w="120"/>
              <w:left w:type="dxa" w:w="200"/>
              <w:bottom w:type="dxa" w:w="100"/>
              <w:right w:type="dxa" w:w="200"/>
            </w:tcMar>
          </w:tcPr>
          <w:p>
            <w:r>
              <w:rPr>
                <w:rFonts w:ascii="Arial" w:cs="Arial" w:eastAsia="Arial" w:hAnsi="Arial"/>
                <w:b/>
                <w:bCs/>
                <w:color w:val="FFFFFF"/>
                <w:sz w:val="24"/>
                <w:szCs w:val="24"/>
              </w:rPr>
              <w:t xml:space="preserve">SECTION 8 — Pre-Existing Conditions &amp; Prior Medical History</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Prior treatment records for same body part or region</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Primary care physician records (past 3-5 years, if relevant)</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Prior surgery records for same condition or related area</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Records from prior workers' compensation claims (if any)</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Pre-existing condition documentation from treating physicians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Any prior IME reports related to same body region</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Prior diagnostic imaging for comparison (pre-injury baseline)</w:t>
            </w:r>
          </w:p>
        </w:tc>
      </w:tr>
      <w:tr>
        <w:tc>
          <w:tcPr>
            <w:tcW w:type="dxa" w:w="9360"/>
            <w:gridSpan w:val="2"/>
            <w:tcBorders>
              <w:top w:val="none" w:color="FFFFFF" w:sz="0"/>
              <w:left w:val="none" w:color="FFFFFF" w:sz="0"/>
              <w:bottom w:val="none" w:color="FFFFFF" w:sz="0"/>
              <w:right w:val="none" w:color="FFFFFF" w:sz="0"/>
            </w:tcBorders>
            <w:shd w:fill="E8F6FA" w:val="clear"/>
            <w:tcMar>
              <w:top w:type="dxa" w:w="100"/>
              <w:left w:type="dxa" w:w="200"/>
              <w:bottom w:type="dxa" w:w="100"/>
              <w:right w:type="dxa" w:w="200"/>
            </w:tcMar>
          </w:tcPr>
          <w:p>
            <w:r>
              <w:rPr>
                <w:rFonts w:ascii="Arial" w:cs="Arial" w:eastAsia="Arial" w:hAnsi="Arial"/>
                <w:sz w:val="20"/>
                <w:szCs w:val="20"/>
              </w:rPr>
              <w:t xml:space="preserve">💡 </w:t>
            </w:r>
            <w:r>
              <w:rPr>
                <w:rFonts w:ascii="Arial" w:cs="Arial" w:eastAsia="Arial" w:hAnsi="Arial"/>
                <w:i/>
                <w:iCs/>
                <w:color w:val="0C657B"/>
                <w:sz w:val="20"/>
                <w:szCs w:val="20"/>
              </w:rPr>
              <w:t xml:space="preserve">Tip: Proactively gathering prior medical records protects your client. Defense counsel will obtain them — it is better to review and address pre-existing conditions early than be surprised at deposition.</w:t>
            </w:r>
          </w:p>
        </w:tc>
      </w:tr>
    </w:tbl>
    <w:p>
      <w:pPr>
        <w:spacing w:before="240" w:after="0"/>
      </w:pPr>
    </w:p>
    <w:tbl>
      <w:tblPr>
        <w:tblW w:type="dxa" w:w="10080"/>
        <w:tblBorders>
          <w:top w:val="none" w:color="FFFFFF" w:sz="0"/>
          <w:left w:val="none" w:color="FFFFFF" w:sz="0"/>
          <w:bottom w:val="none" w:color="FFFFFF" w:sz="0"/>
          <w:right w:val="none" w:color="FFFFFF" w:sz="0"/>
          <w:insideH w:val="single" w:color="auto" w:sz="4"/>
          <w:insideV w:val="single" w:color="auto" w:sz="4"/>
        </w:tblBorders>
      </w:tblPr>
      <w:tblGrid>
        <w:gridCol w:w="480"/>
        <w:gridCol w:w="9600"/>
      </w:tblGrid>
      <w:tr>
        <w:tc>
          <w:tcPr>
            <w:tcW w:type="dxa" w:w="9360"/>
            <w:gridSpan w:val="2"/>
            <w:tcBorders>
              <w:top w:val="none" w:color="FFFFFF" w:sz="0"/>
              <w:left w:val="none" w:color="FFFFFF" w:sz="0"/>
              <w:bottom w:val="none" w:color="FFFFFF" w:sz="0"/>
              <w:right w:val="none" w:color="FFFFFF" w:sz="0"/>
            </w:tcBorders>
            <w:shd w:fill="5E3DA6" w:val="clear"/>
            <w:tcMar>
              <w:top w:type="dxa" w:w="120"/>
              <w:left w:type="dxa" w:w="200"/>
              <w:bottom w:type="dxa" w:w="100"/>
              <w:right w:type="dxa" w:w="200"/>
            </w:tcMar>
          </w:tcPr>
          <w:p>
            <w:r>
              <w:rPr>
                <w:rFonts w:ascii="Arial" w:cs="Arial" w:eastAsia="Arial" w:hAnsi="Arial"/>
                <w:b/>
                <w:bCs/>
                <w:color w:val="FFFFFF"/>
                <w:sz w:val="24"/>
                <w:szCs w:val="24"/>
              </w:rPr>
              <w:t xml:space="preserve">SECTION 9 — Wage Loss &amp; Disability Documentation</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Physician's work restriction and disability status notes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Temporary Total Disability (TTD) certification letters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Return-to-work or modified duty clearances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Permanent disability rating report (if applicable)</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Maximum Medical Improvement (MMI) determination letter</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Future medical care recommendations from treating physician</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Life care plan (if catastrophic or long-term injury)</w:t>
            </w:r>
          </w:p>
        </w:tc>
      </w:tr>
      <w:tr>
        <w:tc>
          <w:tcPr>
            <w:tcW w:type="dxa" w:w="9360"/>
            <w:gridSpan w:val="2"/>
            <w:tcBorders>
              <w:top w:val="none" w:color="FFFFFF" w:sz="0"/>
              <w:left w:val="none" w:color="FFFFFF" w:sz="0"/>
              <w:bottom w:val="none" w:color="FFFFFF" w:sz="0"/>
              <w:right w:val="none" w:color="FFFFFF" w:sz="0"/>
            </w:tcBorders>
            <w:shd w:fill="E8F6FA" w:val="clear"/>
            <w:tcMar>
              <w:top w:type="dxa" w:w="100"/>
              <w:left w:type="dxa" w:w="200"/>
              <w:bottom w:type="dxa" w:w="100"/>
              <w:right w:type="dxa" w:w="200"/>
            </w:tcMar>
          </w:tcPr>
          <w:p>
            <w:r>
              <w:rPr>
                <w:rFonts w:ascii="Arial" w:cs="Arial" w:eastAsia="Arial" w:hAnsi="Arial"/>
                <w:sz w:val="20"/>
                <w:szCs w:val="20"/>
              </w:rPr>
              <w:t xml:space="preserve">💡 </w:t>
            </w:r>
            <w:r>
              <w:rPr>
                <w:rFonts w:ascii="Arial" w:cs="Arial" w:eastAsia="Arial" w:hAnsi="Arial"/>
                <w:i/>
                <w:iCs/>
                <w:color w:val="0C657B"/>
                <w:sz w:val="20"/>
                <w:szCs w:val="20"/>
              </w:rPr>
              <w:t xml:space="preserve">Tip: MMI and disability ratings are pivotal to settlement value. Ensure treating physician's final narrative clearly addresses impairment rating using applicable AMA Guides edition for the state.</w:t>
            </w:r>
          </w:p>
        </w:tc>
      </w:tr>
    </w:tbl>
    <w:p>
      <w:pPr>
        <w:spacing w:before="240" w:after="0"/>
      </w:pPr>
    </w:p>
    <w:tbl>
      <w:tblPr>
        <w:tblW w:type="dxa" w:w="10080"/>
        <w:tblBorders>
          <w:top w:val="none" w:color="FFFFFF" w:sz="0"/>
          <w:left w:val="none" w:color="FFFFFF" w:sz="0"/>
          <w:bottom w:val="none" w:color="FFFFFF" w:sz="0"/>
          <w:right w:val="none" w:color="FFFFFF" w:sz="0"/>
          <w:insideH w:val="single" w:color="auto" w:sz="4"/>
          <w:insideV w:val="single" w:color="auto" w:sz="4"/>
        </w:tblBorders>
      </w:tblPr>
      <w:tblGrid>
        <w:gridCol w:w="480"/>
        <w:gridCol w:w="9600"/>
      </w:tblGrid>
      <w:tr>
        <w:tc>
          <w:tcPr>
            <w:tcW w:type="dxa" w:w="9360"/>
            <w:gridSpan w:val="2"/>
            <w:tcBorders>
              <w:top w:val="none" w:color="FFFFFF" w:sz="0"/>
              <w:left w:val="none" w:color="FFFFFF" w:sz="0"/>
              <w:bottom w:val="none" w:color="FFFFFF" w:sz="0"/>
              <w:right w:val="none" w:color="FFFFFF" w:sz="0"/>
            </w:tcBorders>
            <w:shd w:fill="F45B89" w:val="clear"/>
            <w:tcMar>
              <w:top w:type="dxa" w:w="120"/>
              <w:left w:type="dxa" w:w="200"/>
              <w:bottom w:type="dxa" w:w="100"/>
              <w:right w:type="dxa" w:w="200"/>
            </w:tcMar>
          </w:tcPr>
          <w:p>
            <w:r>
              <w:rPr>
                <w:rFonts w:ascii="Arial" w:cs="Arial" w:eastAsia="Arial" w:hAnsi="Arial"/>
                <w:b/>
                <w:bCs/>
                <w:color w:val="FFFFFF"/>
                <w:sz w:val="24"/>
                <w:szCs w:val="24"/>
              </w:rPr>
              <w:t xml:space="preserve">SECTION 10 — Billing &amp; Medical Lien Records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Itemized billing statements from all providers</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Explanation of Benefits (EOB) from health or workers' comp insurer</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Outstanding medical bills or unpaid balances documented</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Medical liens received and catalogued (Letter of Protection/LOP)</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Health insurance subrogation demand (if applicable)</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Medicare/Medicaid conditional payment letters (if applicable)</w:t>
            </w:r>
          </w:p>
        </w:tc>
      </w:tr>
      <w:tr>
        <w:tc>
          <w:tcPr>
            <w:tcW w:type="dxa" w:w="48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jc w:val="center"/>
            </w:pPr>
            <w:r>
              <w:rPr>
                <w:rFonts w:ascii="Arial" w:cs="Arial" w:eastAsia="Arial" w:hAnsi="Arial"/>
                <w:b/>
                <w:bCs/>
                <w:color w:val="1A90A8"/>
                <w:sz w:val="22"/>
                <w:szCs w:val="22"/>
              </w:rPr>
              <w:t xml:space="preserve">☐</w:t>
            </w:r>
          </w:p>
        </w:tc>
        <w:tc>
          <w:tcPr>
            <w:tcW w:type="dxa" w:w="8640"/>
            <w:tcBorders>
              <w:top w:val="none" w:color="FFFFFF" w:sz="0"/>
              <w:left w:val="none" w:color="FFFFFF" w:sz="0"/>
              <w:bottom w:val="none" w:color="FFFFFF" w:sz="0"/>
              <w:right w:val="none" w:color="FFFFFF" w:sz="0"/>
            </w:tcBorders>
            <w:tcMar>
              <w:top w:type="dxa" w:w="60"/>
              <w:left w:type="dxa" w:w="120"/>
              <w:bottom w:type="dxa" w:w="60"/>
              <w:right w:type="dxa" w:w="80"/>
            </w:tcMar>
          </w:tcPr>
          <w:p>
            <w:pPr>
              <w:spacing w:before="0" w:after="0"/>
            </w:pPr>
            <w:r>
              <w:rPr>
                <w:rFonts w:ascii="Arial" w:cs="Arial" w:eastAsia="Arial" w:hAnsi="Arial"/>
                <w:b w:val="false"/>
                <w:bCs w:val="false"/>
                <w:color w:val="2D3E4A"/>
                <w:sz w:val="21"/>
                <w:szCs w:val="21"/>
              </w:rPr>
              <w:t xml:space="preserve">All provider lien reduction negotiations documented</w:t>
            </w:r>
          </w:p>
        </w:tc>
      </w:tr>
      <w:tr>
        <w:tc>
          <w:tcPr>
            <w:tcW w:type="dxa" w:w="9360"/>
            <w:gridSpan w:val="2"/>
            <w:tcBorders>
              <w:top w:val="none" w:color="FFFFFF" w:sz="0"/>
              <w:left w:val="none" w:color="FFFFFF" w:sz="0"/>
              <w:bottom w:val="none" w:color="FFFFFF" w:sz="0"/>
              <w:right w:val="none" w:color="FFFFFF" w:sz="0"/>
            </w:tcBorders>
            <w:shd w:fill="E8F6FA" w:val="clear"/>
            <w:tcMar>
              <w:top w:type="dxa" w:w="100"/>
              <w:left w:type="dxa" w:w="200"/>
              <w:bottom w:type="dxa" w:w="100"/>
              <w:right w:type="dxa" w:w="200"/>
            </w:tcMar>
          </w:tcPr>
          <w:p>
            <w:r>
              <w:rPr>
                <w:rFonts w:ascii="Arial" w:cs="Arial" w:eastAsia="Arial" w:hAnsi="Arial"/>
                <w:sz w:val="20"/>
                <w:szCs w:val="20"/>
              </w:rPr>
              <w:t xml:space="preserve">💡 </w:t>
            </w:r>
            <w:r>
              <w:rPr>
                <w:rFonts w:ascii="Arial" w:cs="Arial" w:eastAsia="Arial" w:hAnsi="Arial"/>
                <w:i/>
                <w:iCs/>
                <w:color w:val="0C657B"/>
                <w:sz w:val="20"/>
                <w:szCs w:val="20"/>
              </w:rPr>
              <w:t xml:space="preserve">Tip: Medicare Set-Asides (MSAs) may be required for settlements involving Medicare beneficiaries. Identify this early to avoid delays at settlement.</w:t>
            </w:r>
          </w:p>
        </w:tc>
      </w:tr>
    </w:tbl>
    <w:p>
      <w:pPr>
        <w:spacing w:before="280" w:after="0"/>
      </w:pPr>
    </w:p>
    <w:tbl>
      <w:tblPr>
        <w:tblW w:type="dxa" w:w="10080"/>
        <w:tblBorders>
          <w:top w:val="none" w:color="FFFFFF" w:sz="0"/>
          <w:left w:val="single" w:color="FF8F3A" w:sz="20"/>
          <w:bottom w:val="none" w:color="FFFFFF" w:sz="0"/>
          <w:right w:val="none" w:color="FFFFFF" w:sz="0"/>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FFFAF5" w:val="clear"/>
            <w:tcMar>
              <w:top w:type="dxa" w:w="160"/>
              <w:left w:type="dxa" w:w="280"/>
              <w:bottom w:type="dxa" w:w="160"/>
              <w:right w:type="dxa" w:w="200"/>
            </w:tcMar>
          </w:tcPr>
          <w:p>
            <w:r>
              <w:rPr>
                <w:rFonts w:ascii="Arial" w:cs="Arial" w:eastAsia="Arial" w:hAnsi="Arial"/>
                <w:b/>
                <w:bCs/>
                <w:color w:val="0C657B"/>
                <w:sz w:val="24"/>
                <w:szCs w:val="24"/>
              </w:rPr>
              <w:t xml:space="preserve">Case Notes &amp; Outstanding Items</w:t>
            </w:r>
          </w:p>
          <w:p>
            <w:pPr>
              <w:spacing w:before="80" w:after="0"/>
            </w:pPr>
            <w:r>
              <w:rPr>
                <w:rFonts w:ascii="Arial" w:cs="Arial" w:eastAsia="Arial" w:hAnsi="Arial"/>
                <w:color w:val="2D3E4A"/>
                <w:sz w:val="20"/>
                <w:szCs w:val="20"/>
              </w:rPr>
              <w:t xml:space="preserve">Claimant Name: ________________________________________     Claim #: ________________________</w:t>
            </w:r>
          </w:p>
          <w:p>
            <w:pPr>
              <w:spacing w:before="80" w:after="0"/>
            </w:pPr>
            <w:r>
              <w:rPr>
                <w:rFonts w:ascii="Arial" w:cs="Arial" w:eastAsia="Arial" w:hAnsi="Arial"/>
                <w:color w:val="2D3E4A"/>
                <w:sz w:val="20"/>
                <w:szCs w:val="20"/>
              </w:rPr>
              <w:t xml:space="preserve">Attorney/Adjuster: _____________________________________     Date: __________________________</w:t>
            </w:r>
          </w:p>
          <w:p>
            <w:pPr>
              <w:spacing w:before="80" w:after="0"/>
            </w:pPr>
            <w:r>
              <w:rPr>
                <w:rFonts w:ascii="Arial" w:cs="Arial" w:eastAsia="Arial" w:hAnsi="Arial"/>
                <w:color w:val="2D3E4A"/>
                <w:sz w:val="20"/>
                <w:szCs w:val="20"/>
              </w:rPr>
              <w:t xml:space="preserve">Records Coordinator: ___________________________________     Case Type:  ☐ PI   ☐ WC   ☐ Other</w:t>
            </w:r>
          </w:p>
          <w:p>
            <w:pPr>
              <w:spacing w:before="120" w:after="20"/>
            </w:pPr>
            <w:r>
              <w:rPr>
                <w:rFonts w:ascii="Arial" w:cs="Arial" w:eastAsia="Arial" w:hAnsi="Arial"/>
                <w:b/>
                <w:bCs/>
                <w:color w:val="2D3E4A"/>
                <w:sz w:val="20"/>
                <w:szCs w:val="20"/>
              </w:rPr>
              <w:t xml:space="preserve">Outstanding Records / Notes:</w:t>
            </w:r>
          </w:p>
          <w:p>
            <w:pPr>
              <w:spacing w:before="60" w:after="0"/>
            </w:pPr>
            <w:r>
              <w:rPr>
                <w:rFonts w:ascii="Arial" w:cs="Arial" w:eastAsia="Arial" w:hAnsi="Arial"/>
                <w:color w:val="CCCCCC"/>
                <w:sz w:val="20"/>
                <w:szCs w:val="20"/>
              </w:rPr>
              <w:t xml:space="preserve">__________________________________________________________________________________</w:t>
            </w:r>
          </w:p>
          <w:p>
            <w:pPr>
              <w:spacing w:before="80" w:after="0"/>
            </w:pPr>
            <w:r>
              <w:rPr>
                <w:rFonts w:ascii="Arial" w:cs="Arial" w:eastAsia="Arial" w:hAnsi="Arial"/>
                <w:color w:val="CCCCCC"/>
                <w:sz w:val="20"/>
                <w:szCs w:val="20"/>
              </w:rPr>
              <w:t xml:space="preserve">__________________________________________________________________________________</w:t>
            </w:r>
          </w:p>
          <w:p>
            <w:pPr>
              <w:spacing w:before="80" w:after="0"/>
            </w:pPr>
            <w:r>
              <w:rPr>
                <w:rFonts w:ascii="Arial" w:cs="Arial" w:eastAsia="Arial" w:hAnsi="Arial"/>
                <w:color w:val="CCCCCC"/>
                <w:sz w:val="20"/>
                <w:szCs w:val="20"/>
              </w:rPr>
              <w:t xml:space="preserve">__________________________________________________________________________________</w:t>
            </w:r>
          </w:p>
          <w:p>
            <w:pPr>
              <w:spacing w:before="80" w:after="0"/>
            </w:pPr>
            <w:r>
              <w:rPr>
                <w:rFonts w:ascii="Arial" w:cs="Arial" w:eastAsia="Arial" w:hAnsi="Arial"/>
                <w:color w:val="CCCCCC"/>
                <w:sz w:val="20"/>
                <w:szCs w:val="20"/>
              </w:rPr>
              <w:t xml:space="preserve">__________________________________________________________________________________</w:t>
            </w:r>
          </w:p>
        </w:tc>
      </w:tr>
    </w:tbl>
    <w:p>
      <w:pPr>
        <w:spacing w:before="280" w:after="0"/>
      </w:pPr>
    </w:p>
    <w:tbl>
      <w:tblPr>
        <w:tblW w:type="dxa" w:w="10080"/>
        <w:tblBorders>
          <w:top w:val="none" w:color="FFFFFF" w:sz="0"/>
          <w:left w:val="none" w:color="FFFFFF" w:sz="0"/>
          <w:bottom w:val="none" w:color="FFFFFF" w:sz="0"/>
          <w:right w:val="none" w:color="FFFFFF" w:sz="0"/>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0C657B" w:val="clear"/>
            <w:tcMar>
              <w:top w:type="dxa" w:w="200"/>
              <w:left w:type="dxa" w:w="280"/>
              <w:bottom w:type="dxa" w:w="200"/>
              <w:right w:type="dxa" w:w="280"/>
            </w:tcMar>
          </w:tcPr>
          <w:p>
            <w:pPr>
              <w:jc w:val="center"/>
            </w:pPr>
            <w:r>
              <w:rPr>
                <w:rFonts w:ascii="Arial" w:cs="Arial" w:eastAsia="Arial" w:hAnsi="Arial"/>
                <w:b/>
                <w:bCs/>
                <w:color w:val="FFFFFF"/>
                <w:sz w:val="22"/>
                <w:szCs w:val="22"/>
              </w:rPr>
              <w:t xml:space="preserve">Need help coordinating medical appointments or obtaining records?</w:t>
            </w:r>
          </w:p>
          <w:p>
            <w:pPr>
              <w:spacing w:before="100" w:after="80"/>
              <w:jc w:val="center"/>
            </w:pPr>
            <w:r>
              <w:rPr>
                <w:rFonts w:ascii="Arial" w:cs="Arial" w:eastAsia="Arial" w:hAnsi="Arial"/>
                <w:i/>
                <w:iCs/>
                <w:color w:val="D5EDF3"/>
                <w:sz w:val="20"/>
                <w:szCs w:val="20"/>
              </w:rPr>
              <w:t xml:space="preserve">Claims &amp; Kinnect Solutions handles end-to-end medical appointment coordination and records management for PI and workers' compensation cases — so you can focus on what matters most.</w:t>
            </w:r>
          </w:p>
          <w:p>
            <w:pPr>
              <w:jc w:val="center"/>
            </w:pPr>
            <w:r>
              <w:rPr>
                <w:rFonts w:ascii="Arial" w:cs="Arial" w:eastAsia="Arial" w:hAnsi="Arial"/>
                <w:b/>
                <w:bCs/>
                <w:color w:val="FF8F3A"/>
                <w:sz w:val="20"/>
                <w:szCs w:val="20"/>
              </w:rPr>
              <w:t xml:space="preserve">📞 469-213-8150   |   📧 referrals@claimsandkinnectsolutions.org   |   🌐 claimsandkinnectsolutions.org</w:t>
            </w:r>
          </w:p>
        </w:tc>
      </w:tr>
    </w:tbl>
    <w:sectPr>
      <w:headerReference w:type="default" r:id="rId6"/>
      <w:footerReference w:type="default" r:id="rId7"/>
      <w:pgSz w:w="12240" w:h="15840" w:orient="portrait"/>
      <w:pgMar w:top="72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0080"/>
      <w:tblBorders>
        <w:top w:val="single" w:color="1A90A8" w:sz="4"/>
        <w:left w:val="none" w:color="FFFFFF" w:sz="0"/>
        <w:bottom w:val="none" w:color="FFFFFF" w:sz="0"/>
        <w:right w:val="none" w:color="FFFFFF" w:sz="0"/>
        <w:insideH w:val="single" w:color="auto" w:sz="4"/>
        <w:insideV w:val="single" w:color="auto" w:sz="4"/>
      </w:tblBorders>
    </w:tblPr>
    <w:tblGrid>
      <w:gridCol w:w="5040"/>
      <w:gridCol w:w="5040"/>
    </w:tblGrid>
    <w:tr>
      <w:tc>
        <w:tcPr>
          <w:tcW w:type="dxa" w:w="5040"/>
          <w:tcBorders>
            <w:top w:val="none" w:color="FFFFFF" w:sz="0"/>
            <w:left w:val="none" w:color="FFFFFF" w:sz="0"/>
            <w:bottom w:val="none" w:color="FFFFFF" w:sz="0"/>
            <w:right w:val="none" w:color="FFFFFF" w:sz="0"/>
          </w:tcBorders>
          <w:tcMar>
            <w:top w:type="dxa" w:w="80"/>
            <w:left w:type="dxa" w:w="0"/>
            <w:bottom w:type="dxa" w:w="0"/>
            <w:right w:type="dxa" w:w="0"/>
          </w:tcMar>
        </w:tcPr>
        <w:p>
          <w:r>
            <w:rPr>
              <w:rFonts w:ascii="Arial" w:cs="Arial" w:eastAsia="Arial" w:hAnsi="Arial"/>
              <w:color w:val="6B7C85"/>
              <w:sz w:val="16"/>
              <w:szCs w:val="16"/>
            </w:rPr>
            <w:t xml:space="preserve">© 2026 Claims &amp; Kinnect Solutions  |  info@claimsandkinnectsolutions.org</w:t>
          </w:r>
        </w:p>
      </w:tc>
      <w:tc>
        <w:tcPr>
          <w:tcW w:type="dxa" w:w="5040"/>
          <w:tcBorders>
            <w:top w:val="none" w:color="FFFFFF" w:sz="0"/>
            <w:left w:val="none" w:color="FFFFFF" w:sz="0"/>
            <w:bottom w:val="none" w:color="FFFFFF" w:sz="0"/>
            <w:right w:val="none" w:color="FFFFFF" w:sz="0"/>
          </w:tcBorders>
          <w:tcMar>
            <w:top w:type="dxa" w:w="80"/>
            <w:left w:type="dxa" w:w="0"/>
            <w:bottom w:type="dxa" w:w="0"/>
            <w:right w:type="dxa" w:w="0"/>
          </w:tcMar>
        </w:tcPr>
        <w:p>
          <w:pPr>
            <w:jc w:val="right"/>
          </w:pPr>
          <w:r>
            <w:rPr>
              <w:rFonts w:ascii="Arial" w:cs="Arial" w:eastAsia="Arial" w:hAnsi="Arial"/>
              <w:color w:val="6B7C85"/>
              <w:sz w:val="16"/>
              <w:szCs w:val="16"/>
            </w:rPr>
            <w:t xml:space="preserve">Page </w:t>
          </w:r>
          <w:r>
            <w:rPr>
              <w:rFonts w:ascii="Arial" w:cs="Arial" w:eastAsia="Arial" w:hAnsi="Arial"/>
              <w:color w:val="6B7C85"/>
              <w:sz w:val="16"/>
              <w:szCs w:val="16"/>
            </w:rPr>
            <w:fldChar w:fldCharType="begin"/>
            <w:instrText xml:space="preserve">PAGE</w:instrText>
            <w:fldChar w:fldCharType="separate"/>
            <w:fldChar w:fldCharType="end"/>
          </w:r>
          <w:r>
            <w:rPr>
              <w:rFonts w:ascii="Arial" w:cs="Arial" w:eastAsia="Arial" w:hAnsi="Arial"/>
              <w:color w:val="6B7C85"/>
              <w:sz w:val="16"/>
              <w:szCs w:val="16"/>
            </w:rPr>
            <w:t xml:space="preserve"> of </w:t>
          </w:r>
          <w:r>
            <w:rPr>
              <w:rFonts w:ascii="Arial" w:cs="Arial" w:eastAsia="Arial" w:hAnsi="Arial"/>
              <w:color w:val="6B7C85"/>
              <w:sz w:val="16"/>
              <w:szCs w:val="16"/>
            </w:rPr>
            <w:fldChar w:fldCharType="begin"/>
            <w:instrText xml:space="preserve">NUMPAGES</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080"/>
      <w:tblBorders>
        <w:top w:val="none" w:color="FFFFFF" w:sz="0"/>
        <w:left w:val="none" w:color="FFFFFF" w:sz="0"/>
        <w:bottom w:val="single" w:color="1A90A8" w:sz="4"/>
        <w:right w:val="none" w:color="FFFFFF" w:sz="0"/>
        <w:insideH w:val="single" w:color="auto" w:sz="4"/>
        <w:insideV w:val="single" w:color="auto" w:sz="4"/>
      </w:tblBorders>
    </w:tblPr>
    <w:tblGrid>
      <w:gridCol w:w="7200"/>
      <w:gridCol w:w="2880"/>
    </w:tblGrid>
    <w:tr>
      <w:tc>
        <w:tcPr>
          <w:tcW w:type="dxa" w:w="7200"/>
          <w:tcBorders>
            <w:top w:val="none" w:color="FFFFFF" w:sz="0"/>
            <w:left w:val="none" w:color="FFFFFF" w:sz="0"/>
            <w:bottom w:val="none" w:color="FFFFFF" w:sz="0"/>
            <w:right w:val="none" w:color="FFFFFF" w:sz="0"/>
          </w:tcBorders>
          <w:tcMar>
            <w:top w:type="dxa" w:w="80"/>
            <w:left w:type="dxa" w:w="0"/>
            <w:bottom w:type="dxa" w:w="80"/>
            <w:right w:type="dxa" w:w="0"/>
          </w:tcMar>
        </w:tcPr>
        <w:p>
          <w:r>
            <w:rPr>
              <w:rFonts w:ascii="Arial" w:cs="Arial" w:eastAsia="Arial" w:hAnsi="Arial"/>
              <w:b/>
              <w:bCs/>
              <w:color w:val="0C657B"/>
              <w:sz w:val="28"/>
              <w:szCs w:val="28"/>
            </w:rPr>
            <w:t xml:space="preserve">Claims &amp; Kinnect Solutions</w:t>
          </w:r>
        </w:p>
        <w:p>
          <w:pPr>
            <w:spacing w:before="0" w:after="0"/>
          </w:pPr>
          <w:r>
            <w:rPr>
              <w:rFonts w:ascii="Arial" w:cs="Arial" w:eastAsia="Arial" w:hAnsi="Arial"/>
              <w:i/>
              <w:iCs/>
              <w:color w:val="FF8F3A"/>
              <w:sz w:val="18"/>
              <w:szCs w:val="18"/>
            </w:rPr>
            <w:t xml:space="preserve">Where Claims Meet Clarity™</w:t>
          </w:r>
        </w:p>
      </w:tc>
      <w:tc>
        <w:tcPr>
          <w:tcW w:type="dxa" w:w="2880"/>
          <w:tcBorders>
            <w:top w:val="none" w:color="FFFFFF" w:sz="0"/>
            <w:left w:val="none" w:color="FFFFFF" w:sz="0"/>
            <w:bottom w:val="none" w:color="FFFFFF" w:sz="0"/>
            <w:right w:val="none" w:color="FFFFFF" w:sz="0"/>
          </w:tcBorders>
          <w:tcMar>
            <w:top w:type="dxa" w:w="80"/>
            <w:left w:type="dxa" w:w="80"/>
            <w:bottom w:type="dxa" w:w="80"/>
            <w:right w:type="dxa" w:w="0"/>
          </w:tcMar>
          <w:vAlign w:val="center"/>
        </w:tcPr>
        <w:p>
          <w:pPr>
            <w:jc w:val="right"/>
          </w:pPr>
          <w:r>
            <w:rPr>
              <w:rFonts w:ascii="Arial" w:cs="Arial" w:eastAsia="Arial" w:hAnsi="Arial"/>
              <w:color w:val="1A90A8"/>
              <w:sz w:val="17"/>
              <w:szCs w:val="17"/>
            </w:rPr>
            <w:t xml:space="preserve">claimsandkinnectsolutions.org</w:t>
          </w:r>
        </w:p>
        <w:p>
          <w:pPr>
            <w:spacing w:before="0" w:after="0"/>
            <w:jc w:val="right"/>
          </w:pPr>
          <w:r>
            <w:rPr>
              <w:rFonts w:ascii="Arial" w:cs="Arial" w:eastAsia="Arial" w:hAnsi="Arial"/>
              <w:color w:val="6B7C85"/>
              <w:sz w:val="17"/>
              <w:szCs w:val="17"/>
            </w:rPr>
            <w:t xml:space="preserve">469-213-8150</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D3E4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2026-02-11T02:59:43.089Z</dcterms:created>
  <dcterms:modified xsi:type="dcterms:W3CDTF">2026-02-11T02:59:43.090Z</dcterms:modified>
</cp:coreProperties>
</file>

<file path=docProps/custom.xml><?xml version="1.0" encoding="utf-8"?>
<Properties xmlns="http://schemas.openxmlformats.org/officeDocument/2006/custom-properties" xmlns:vt="http://schemas.openxmlformats.org/officeDocument/2006/docPropsVTypes"/>
</file>